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36"/>
          <w:szCs w:val="36"/>
        </w:rPr>
        <w:t>机动车综合商业保险示范产品-费率调整系数表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（北京适用）</w:t>
      </w:r>
    </w:p>
    <w:tbl>
      <w:tblPr>
        <w:tblStyle w:val="3"/>
        <w:tblW w:w="8741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49"/>
        <w:gridCol w:w="4127"/>
        <w:gridCol w:w="17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1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无赔款优待及上年赔款记录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连续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年没有发生赔款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0.40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连续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年没有发生赔款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0.50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连续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年没有发生赔款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0.60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连续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年没有发生赔款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上年没有发生赔款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0.85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2.75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上年发生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次以上赔款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本年承保新购置车辆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本年首次投保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交通违法系数</w:t>
            </w:r>
          </w:p>
        </w:tc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根据当地监管及保险行业协会规定，据实使用。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自主核保系数</w:t>
            </w:r>
          </w:p>
        </w:tc>
        <w:tc>
          <w:tcPr>
            <w:tcW w:w="5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根据公司自主上报的系数使用规则，在规定的范围之内调整使用。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自主渠道系数</w:t>
            </w:r>
          </w:p>
        </w:tc>
        <w:tc>
          <w:tcPr>
            <w:tcW w:w="591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根据公司自主上报的系数使用规则，在规定的范围之内调整使用。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920E0"/>
    <w:rsid w:val="684F6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zd</cp:lastModifiedBy>
  <dcterms:modified xsi:type="dcterms:W3CDTF">2017-05-11T08:42:11Z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