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D0A" w:rsidRPr="00F92D0A" w:rsidRDefault="00F92D0A" w:rsidP="00F92D0A">
      <w:pPr>
        <w:widowControl/>
        <w:shd w:val="clear" w:color="auto" w:fill="FFFFFF"/>
        <w:spacing w:before="100" w:beforeAutospacing="1" w:after="100" w:afterAutospacing="1" w:line="600" w:lineRule="atLeast"/>
        <w:jc w:val="center"/>
        <w:rPr>
          <w:rFonts w:ascii="华文中宋" w:eastAsia="华文中宋" w:hAnsi="华文中宋" w:cs="宋体" w:hint="eastAsia"/>
          <w:kern w:val="0"/>
          <w:sz w:val="36"/>
          <w:szCs w:val="36"/>
        </w:rPr>
      </w:pPr>
      <w:r w:rsidRPr="00F92D0A">
        <w:rPr>
          <w:rFonts w:ascii="华文中宋" w:eastAsia="华文中宋" w:hAnsi="华文中宋" w:cs="宋体" w:hint="eastAsia"/>
          <w:kern w:val="0"/>
          <w:sz w:val="36"/>
          <w:szCs w:val="36"/>
        </w:rPr>
        <w:t>中国银保监会办公厅   农业农村部办公厅关于支持做好稳定生猪生产保障市场供应有关工作的通知</w:t>
      </w:r>
    </w:p>
    <w:p w:rsidR="00F92D0A" w:rsidRPr="00F92D0A" w:rsidRDefault="00F92D0A" w:rsidP="00F92D0A">
      <w:pPr>
        <w:widowControl/>
        <w:shd w:val="clear" w:color="auto" w:fill="FFFFFF"/>
        <w:spacing w:before="100" w:beforeAutospacing="1" w:after="100" w:afterAutospacing="1" w:line="600" w:lineRule="atLeast"/>
        <w:jc w:val="center"/>
        <w:rPr>
          <w:rFonts w:ascii="微软雅黑" w:eastAsia="微软雅黑" w:hAnsi="微软雅黑" w:cs="宋体" w:hint="eastAsia"/>
          <w:kern w:val="0"/>
          <w:sz w:val="24"/>
          <w:szCs w:val="24"/>
        </w:rPr>
      </w:pPr>
      <w:r w:rsidRPr="00F92D0A">
        <w:rPr>
          <w:rFonts w:ascii="楷体_GB2312" w:eastAsia="楷体_GB2312" w:hAnsi="Times New Roman" w:cs="Times New Roman"/>
          <w:kern w:val="0"/>
          <w:sz w:val="32"/>
          <w:szCs w:val="32"/>
        </w:rPr>
        <w:t>（银保监</w:t>
      </w:r>
      <w:r w:rsidRPr="00F92D0A">
        <w:rPr>
          <w:rFonts w:ascii="楷体_GB2312" w:eastAsia="楷体_GB2312" w:hAnsi="微软雅黑" w:cs="宋体" w:hint="eastAsia"/>
          <w:kern w:val="0"/>
          <w:sz w:val="32"/>
          <w:szCs w:val="32"/>
        </w:rPr>
        <w:t>办</w:t>
      </w:r>
      <w:r w:rsidRPr="00F92D0A">
        <w:rPr>
          <w:rFonts w:ascii="楷体_GB2312" w:eastAsia="楷体_GB2312" w:hAnsi="Times New Roman" w:cs="Times New Roman"/>
          <w:kern w:val="0"/>
          <w:sz w:val="32"/>
          <w:szCs w:val="32"/>
        </w:rPr>
        <w:t>发〔</w:t>
      </w:r>
      <w:r w:rsidRPr="00F92D0A">
        <w:rPr>
          <w:rFonts w:ascii="Times New Roman" w:eastAsia="微软雅黑" w:hAnsi="Times New Roman" w:cs="Times New Roman"/>
          <w:kern w:val="0"/>
          <w:sz w:val="32"/>
          <w:szCs w:val="32"/>
        </w:rPr>
        <w:t>2019</w:t>
      </w:r>
      <w:r w:rsidRPr="00F92D0A">
        <w:rPr>
          <w:rFonts w:ascii="楷体_GB2312" w:eastAsia="楷体_GB2312" w:hAnsi="Times New Roman" w:cs="Times New Roman"/>
          <w:kern w:val="0"/>
          <w:sz w:val="32"/>
          <w:szCs w:val="32"/>
        </w:rPr>
        <w:t>〕</w:t>
      </w:r>
      <w:r w:rsidRPr="00F92D0A">
        <w:rPr>
          <w:rFonts w:ascii="Times New Roman" w:eastAsia="微软雅黑" w:hAnsi="Times New Roman" w:cs="Times New Roman"/>
          <w:kern w:val="0"/>
          <w:sz w:val="32"/>
          <w:szCs w:val="32"/>
        </w:rPr>
        <w:t>189</w:t>
      </w:r>
      <w:r w:rsidRPr="00F92D0A">
        <w:rPr>
          <w:rFonts w:ascii="楷体_GB2312" w:eastAsia="楷体_GB2312" w:hAnsi="Times New Roman" w:cs="Times New Roman"/>
          <w:kern w:val="0"/>
          <w:sz w:val="32"/>
          <w:szCs w:val="32"/>
        </w:rPr>
        <w:t>号）</w:t>
      </w:r>
    </w:p>
    <w:p w:rsidR="00F92D0A" w:rsidRPr="00F92D0A" w:rsidRDefault="00F92D0A" w:rsidP="00F92D0A">
      <w:pPr>
        <w:widowControl/>
        <w:shd w:val="clear" w:color="auto" w:fill="FFFFFF"/>
        <w:spacing w:before="100" w:beforeAutospacing="1" w:after="100" w:afterAutospacing="1" w:line="600" w:lineRule="atLeast"/>
        <w:jc w:val="left"/>
        <w:rPr>
          <w:rFonts w:asciiTheme="minorEastAsia" w:hAnsiTheme="minorEastAsia" w:cs="宋体" w:hint="eastAsia"/>
          <w:kern w:val="0"/>
          <w:sz w:val="32"/>
          <w:szCs w:val="32"/>
        </w:rPr>
      </w:pPr>
      <w:proofErr w:type="gramStart"/>
      <w:r w:rsidRPr="00F92D0A">
        <w:rPr>
          <w:rFonts w:asciiTheme="minorEastAsia" w:hAnsiTheme="minorEastAsia" w:cs="宋体" w:hint="eastAsia"/>
          <w:bCs/>
          <w:kern w:val="0"/>
          <w:sz w:val="32"/>
          <w:szCs w:val="32"/>
        </w:rPr>
        <w:t>各银保</w:t>
      </w:r>
      <w:proofErr w:type="gramEnd"/>
      <w:r w:rsidRPr="00F92D0A">
        <w:rPr>
          <w:rFonts w:asciiTheme="minorEastAsia" w:hAnsiTheme="minorEastAsia" w:cs="宋体" w:hint="eastAsia"/>
          <w:bCs/>
          <w:kern w:val="0"/>
          <w:sz w:val="32"/>
          <w:szCs w:val="32"/>
        </w:rPr>
        <w:t>监局，各省、自治区、直辖市、计划单列市农业农村（农牧）厅（委、局），各政策性银行、大型银行、股份制银行，邮储银行，各保险集团（控股）公司、保险公司、保险资产管理公司：</w:t>
      </w:r>
    </w:p>
    <w:p w:rsidR="00F92D0A" w:rsidRPr="00F92D0A" w:rsidRDefault="00F92D0A" w:rsidP="00F92D0A">
      <w:pPr>
        <w:widowControl/>
        <w:shd w:val="clear" w:color="auto" w:fill="FFFFFF"/>
        <w:spacing w:before="100" w:beforeAutospacing="1" w:after="100" w:afterAutospacing="1" w:line="600" w:lineRule="atLeast"/>
        <w:ind w:firstLine="640"/>
        <w:jc w:val="left"/>
        <w:rPr>
          <w:rFonts w:asciiTheme="minorEastAsia" w:hAnsiTheme="minorEastAsia" w:cs="宋体" w:hint="eastAsia"/>
          <w:kern w:val="0"/>
          <w:sz w:val="32"/>
          <w:szCs w:val="32"/>
        </w:rPr>
      </w:pPr>
      <w:r w:rsidRPr="00F92D0A">
        <w:rPr>
          <w:rFonts w:asciiTheme="minorEastAsia" w:hAnsiTheme="minorEastAsia" w:cs="宋体" w:hint="eastAsia"/>
          <w:kern w:val="0"/>
          <w:sz w:val="32"/>
          <w:szCs w:val="32"/>
        </w:rPr>
        <w:t>为贯彻落实党中央、国务院关于稳定生猪生产保障市场供应的部署要求，引导银行业保险业支持做好</w:t>
      </w:r>
      <w:r w:rsidRPr="00F92D0A">
        <w:rPr>
          <w:rFonts w:asciiTheme="minorEastAsia" w:hAnsiTheme="minorEastAsia" w:cs="Times New Roman"/>
          <w:kern w:val="0"/>
          <w:sz w:val="32"/>
          <w:szCs w:val="32"/>
        </w:rPr>
        <w:t>稳定生猪生产</w:t>
      </w:r>
      <w:r w:rsidRPr="00F92D0A">
        <w:rPr>
          <w:rFonts w:asciiTheme="minorEastAsia" w:hAnsiTheme="minorEastAsia" w:cs="宋体" w:hint="eastAsia"/>
          <w:kern w:val="0"/>
          <w:sz w:val="32"/>
          <w:szCs w:val="32"/>
        </w:rPr>
        <w:t>、保障市场供应工作，现将有关事项通知如下：</w:t>
      </w:r>
    </w:p>
    <w:p w:rsidR="00F92D0A" w:rsidRPr="00F92D0A" w:rsidRDefault="00F92D0A" w:rsidP="00F92D0A">
      <w:pPr>
        <w:widowControl/>
        <w:shd w:val="clear" w:color="auto" w:fill="FFFFFF"/>
        <w:spacing w:before="100" w:beforeAutospacing="1" w:after="100" w:afterAutospacing="1" w:line="600" w:lineRule="atLeast"/>
        <w:ind w:firstLine="640"/>
        <w:jc w:val="left"/>
        <w:rPr>
          <w:rFonts w:asciiTheme="minorEastAsia" w:hAnsiTheme="minorEastAsia" w:cs="宋体" w:hint="eastAsia"/>
          <w:kern w:val="0"/>
          <w:sz w:val="32"/>
          <w:szCs w:val="32"/>
        </w:rPr>
      </w:pPr>
      <w:r w:rsidRPr="00F92D0A">
        <w:rPr>
          <w:rFonts w:asciiTheme="minorEastAsia" w:hAnsiTheme="minorEastAsia" w:cs="宋体" w:hint="eastAsia"/>
          <w:kern w:val="0"/>
          <w:sz w:val="32"/>
          <w:szCs w:val="32"/>
        </w:rPr>
        <w:t>一、加大信贷支持力度。银行业金融机构要进一步加大对生猪产业的支持。对符合授</w:t>
      </w:r>
      <w:proofErr w:type="gramStart"/>
      <w:r w:rsidRPr="00F92D0A">
        <w:rPr>
          <w:rFonts w:asciiTheme="minorEastAsia" w:hAnsiTheme="minorEastAsia" w:cs="宋体" w:hint="eastAsia"/>
          <w:kern w:val="0"/>
          <w:sz w:val="32"/>
          <w:szCs w:val="32"/>
        </w:rPr>
        <w:t>信条件但暂时</w:t>
      </w:r>
      <w:proofErr w:type="gramEnd"/>
      <w:r w:rsidRPr="00F92D0A">
        <w:rPr>
          <w:rFonts w:asciiTheme="minorEastAsia" w:hAnsiTheme="minorEastAsia" w:cs="宋体" w:hint="eastAsia"/>
          <w:kern w:val="0"/>
          <w:sz w:val="32"/>
          <w:szCs w:val="32"/>
        </w:rPr>
        <w:t>遇到经营困难的种猪场（地方猪保种场）、生猪规模养殖场和屠宰加工企业，要做好相关金融服务，不得盲目限贷、抽贷、断贷。</w:t>
      </w:r>
    </w:p>
    <w:p w:rsidR="00F92D0A" w:rsidRPr="00F92D0A" w:rsidRDefault="00F92D0A" w:rsidP="00F92D0A">
      <w:pPr>
        <w:widowControl/>
        <w:shd w:val="clear" w:color="auto" w:fill="FFFFFF"/>
        <w:spacing w:before="100" w:beforeAutospacing="1" w:after="100" w:afterAutospacing="1" w:line="600" w:lineRule="atLeast"/>
        <w:ind w:firstLine="640"/>
        <w:jc w:val="left"/>
        <w:rPr>
          <w:rFonts w:asciiTheme="minorEastAsia" w:hAnsiTheme="minorEastAsia" w:cs="宋体" w:hint="eastAsia"/>
          <w:kern w:val="0"/>
          <w:sz w:val="32"/>
          <w:szCs w:val="32"/>
        </w:rPr>
      </w:pPr>
      <w:r w:rsidRPr="00F92D0A">
        <w:rPr>
          <w:rFonts w:asciiTheme="minorEastAsia" w:hAnsiTheme="minorEastAsia" w:cs="宋体" w:hint="eastAsia"/>
          <w:kern w:val="0"/>
          <w:sz w:val="32"/>
          <w:szCs w:val="32"/>
        </w:rPr>
        <w:t>二、创新产品服务模式。鼓励银行业金融机构不断完善创新金融产品和服务模式，建立健全生猪产业贷款尽职免责和激励约束机制。深挖信贷需求，充分调动生猪产业龙头企业力量，推动形成“大帮小”、银企农互助的良好局面。</w:t>
      </w:r>
    </w:p>
    <w:p w:rsidR="00F92D0A" w:rsidRPr="00F92D0A" w:rsidRDefault="00F92D0A" w:rsidP="00F92D0A">
      <w:pPr>
        <w:widowControl/>
        <w:shd w:val="clear" w:color="auto" w:fill="FFFFFF"/>
        <w:spacing w:before="100" w:beforeAutospacing="1" w:after="100" w:afterAutospacing="1" w:line="600" w:lineRule="atLeast"/>
        <w:ind w:firstLine="640"/>
        <w:jc w:val="left"/>
        <w:rPr>
          <w:rFonts w:asciiTheme="minorEastAsia" w:hAnsiTheme="minorEastAsia" w:cs="宋体" w:hint="eastAsia"/>
          <w:kern w:val="0"/>
          <w:sz w:val="32"/>
          <w:szCs w:val="32"/>
        </w:rPr>
      </w:pPr>
      <w:r w:rsidRPr="00F92D0A">
        <w:rPr>
          <w:rFonts w:asciiTheme="minorEastAsia" w:hAnsiTheme="minorEastAsia" w:cs="宋体" w:hint="eastAsia"/>
          <w:kern w:val="0"/>
          <w:sz w:val="32"/>
          <w:szCs w:val="32"/>
        </w:rPr>
        <w:lastRenderedPageBreak/>
        <w:t>三、拓宽抵质押品范围。</w:t>
      </w:r>
      <w:r w:rsidRPr="00F92D0A">
        <w:rPr>
          <w:rFonts w:asciiTheme="minorEastAsia" w:hAnsiTheme="minorEastAsia" w:cs="Times New Roman"/>
          <w:kern w:val="0"/>
          <w:sz w:val="32"/>
          <w:szCs w:val="32"/>
        </w:rPr>
        <w:t>选取辽宁省</w:t>
      </w:r>
      <w:r w:rsidRPr="00F92D0A">
        <w:rPr>
          <w:rFonts w:asciiTheme="minorEastAsia" w:hAnsiTheme="minorEastAsia" w:cs="宋体" w:hint="eastAsia"/>
          <w:kern w:val="0"/>
          <w:sz w:val="32"/>
          <w:szCs w:val="32"/>
        </w:rPr>
        <w:t>、</w:t>
      </w:r>
      <w:r w:rsidRPr="00F92D0A">
        <w:rPr>
          <w:rFonts w:asciiTheme="minorEastAsia" w:hAnsiTheme="minorEastAsia" w:cs="Times New Roman"/>
          <w:kern w:val="0"/>
          <w:sz w:val="32"/>
          <w:szCs w:val="32"/>
        </w:rPr>
        <w:t>河南省、广东省</w:t>
      </w:r>
      <w:r w:rsidRPr="00F92D0A">
        <w:rPr>
          <w:rFonts w:asciiTheme="minorEastAsia" w:hAnsiTheme="minorEastAsia" w:cs="宋体" w:hint="eastAsia"/>
          <w:kern w:val="0"/>
          <w:sz w:val="32"/>
          <w:szCs w:val="32"/>
        </w:rPr>
        <w:t>、</w:t>
      </w:r>
      <w:r w:rsidRPr="00F92D0A">
        <w:rPr>
          <w:rFonts w:asciiTheme="minorEastAsia" w:hAnsiTheme="minorEastAsia" w:cs="Times New Roman"/>
          <w:kern w:val="0"/>
          <w:sz w:val="32"/>
          <w:szCs w:val="32"/>
        </w:rPr>
        <w:t>重庆市开展土地经营权、养殖圈舍、大型养殖机械抵押贷款试点，</w:t>
      </w:r>
      <w:r w:rsidRPr="00F92D0A">
        <w:rPr>
          <w:rFonts w:asciiTheme="minorEastAsia" w:hAnsiTheme="minorEastAsia" w:cs="宋体" w:hint="eastAsia"/>
          <w:kern w:val="0"/>
          <w:sz w:val="32"/>
          <w:szCs w:val="32"/>
        </w:rPr>
        <w:t>积极稳妥推进银行业金融机构拓宽抵质押品范围。支持具备生猪活体抵押登记、流转等条件的地区按照市场化和风险可控原则，积极稳妥开展生猪活体抵押贷款试点，充分发挥银行信贷、保险保障、融资担保等多方合力，更好满足生猪产业融资需求。</w:t>
      </w:r>
    </w:p>
    <w:p w:rsidR="00F92D0A" w:rsidRPr="00F92D0A" w:rsidRDefault="00F92D0A" w:rsidP="00F92D0A">
      <w:pPr>
        <w:widowControl/>
        <w:shd w:val="clear" w:color="auto" w:fill="FFFFFF"/>
        <w:spacing w:before="100" w:beforeAutospacing="1" w:after="100" w:afterAutospacing="1" w:line="600" w:lineRule="atLeast"/>
        <w:ind w:firstLine="640"/>
        <w:jc w:val="left"/>
        <w:rPr>
          <w:rFonts w:asciiTheme="minorEastAsia" w:hAnsiTheme="minorEastAsia" w:cs="宋体" w:hint="eastAsia"/>
          <w:kern w:val="0"/>
          <w:sz w:val="32"/>
          <w:szCs w:val="32"/>
        </w:rPr>
      </w:pPr>
      <w:r w:rsidRPr="00F92D0A">
        <w:rPr>
          <w:rFonts w:asciiTheme="minorEastAsia" w:hAnsiTheme="minorEastAsia" w:cs="宋体" w:hint="eastAsia"/>
          <w:kern w:val="0"/>
          <w:sz w:val="32"/>
          <w:szCs w:val="32"/>
        </w:rPr>
        <w:t>四、完善生猪政策性保险政策。</w:t>
      </w:r>
      <w:proofErr w:type="gramStart"/>
      <w:r w:rsidRPr="00F92D0A">
        <w:rPr>
          <w:rFonts w:asciiTheme="minorEastAsia" w:hAnsiTheme="minorEastAsia" w:cs="Times New Roman"/>
          <w:kern w:val="0"/>
          <w:sz w:val="32"/>
          <w:szCs w:val="32"/>
        </w:rPr>
        <w:t>提高能繁母猪</w:t>
      </w:r>
      <w:proofErr w:type="gramEnd"/>
      <w:r w:rsidRPr="00F92D0A">
        <w:rPr>
          <w:rFonts w:asciiTheme="minorEastAsia" w:hAnsiTheme="minorEastAsia" w:cs="Times New Roman"/>
          <w:kern w:val="0"/>
          <w:sz w:val="32"/>
          <w:szCs w:val="32"/>
        </w:rPr>
        <w:t>、育肥猪保险保额，暂时</w:t>
      </w:r>
      <w:proofErr w:type="gramStart"/>
      <w:r w:rsidRPr="00F92D0A">
        <w:rPr>
          <w:rFonts w:asciiTheme="minorEastAsia" w:hAnsiTheme="minorEastAsia" w:cs="Times New Roman"/>
          <w:kern w:val="0"/>
          <w:sz w:val="32"/>
          <w:szCs w:val="32"/>
        </w:rPr>
        <w:t>将能繁母猪</w:t>
      </w:r>
      <w:proofErr w:type="gramEnd"/>
      <w:r w:rsidRPr="00F92D0A">
        <w:rPr>
          <w:rFonts w:asciiTheme="minorEastAsia" w:hAnsiTheme="minorEastAsia" w:cs="Times New Roman"/>
          <w:kern w:val="0"/>
          <w:sz w:val="32"/>
          <w:szCs w:val="32"/>
        </w:rPr>
        <w:t>保险保额从1000</w:t>
      </w:r>
      <w:r w:rsidRPr="00F92D0A">
        <w:rPr>
          <w:rFonts w:asciiTheme="minorEastAsia" w:hAnsiTheme="minorEastAsia" w:cs="宋体" w:hint="eastAsia"/>
          <w:kern w:val="0"/>
          <w:sz w:val="32"/>
          <w:szCs w:val="32"/>
        </w:rPr>
        <w:t>—</w:t>
      </w:r>
      <w:r w:rsidRPr="00F92D0A">
        <w:rPr>
          <w:rFonts w:asciiTheme="minorEastAsia" w:hAnsiTheme="minorEastAsia" w:cs="Times New Roman"/>
          <w:kern w:val="0"/>
          <w:sz w:val="32"/>
          <w:szCs w:val="32"/>
        </w:rPr>
        <w:t>1200元增加至1500元、育肥猪保险保额从500</w:t>
      </w:r>
      <w:r w:rsidRPr="00F92D0A">
        <w:rPr>
          <w:rFonts w:asciiTheme="minorEastAsia" w:hAnsiTheme="minorEastAsia" w:cs="宋体" w:hint="eastAsia"/>
          <w:kern w:val="0"/>
          <w:sz w:val="32"/>
          <w:szCs w:val="32"/>
        </w:rPr>
        <w:t>—</w:t>
      </w:r>
      <w:r w:rsidRPr="00F92D0A">
        <w:rPr>
          <w:rFonts w:asciiTheme="minorEastAsia" w:hAnsiTheme="minorEastAsia" w:cs="Times New Roman"/>
          <w:kern w:val="0"/>
          <w:sz w:val="32"/>
          <w:szCs w:val="32"/>
        </w:rPr>
        <w:t>600元增加至800元</w:t>
      </w:r>
      <w:r w:rsidRPr="00F92D0A">
        <w:rPr>
          <w:rFonts w:asciiTheme="minorEastAsia" w:hAnsiTheme="minorEastAsia" w:cs="宋体" w:hint="eastAsia"/>
          <w:kern w:val="0"/>
          <w:sz w:val="32"/>
          <w:szCs w:val="32"/>
        </w:rPr>
        <w:t>，具体事项按财政部门有关要求办理</w:t>
      </w:r>
      <w:r w:rsidRPr="00F92D0A">
        <w:rPr>
          <w:rFonts w:asciiTheme="minorEastAsia" w:hAnsiTheme="minorEastAsia" w:cs="Times New Roman"/>
          <w:kern w:val="0"/>
          <w:sz w:val="32"/>
          <w:szCs w:val="32"/>
        </w:rPr>
        <w:t>。</w:t>
      </w:r>
      <w:r w:rsidRPr="00F92D0A">
        <w:rPr>
          <w:rFonts w:asciiTheme="minorEastAsia" w:hAnsiTheme="minorEastAsia" w:cs="宋体" w:hint="eastAsia"/>
          <w:kern w:val="0"/>
          <w:sz w:val="32"/>
          <w:szCs w:val="32"/>
        </w:rPr>
        <w:t>立足于长期稳定生猪生产，鼓励具备条件的地方把握时间窗口，持续开展并扩大生猪价格保险试点。</w:t>
      </w:r>
    </w:p>
    <w:p w:rsidR="00F92D0A" w:rsidRPr="00F92D0A" w:rsidRDefault="00F92D0A" w:rsidP="00F92D0A">
      <w:pPr>
        <w:widowControl/>
        <w:shd w:val="clear" w:color="auto" w:fill="FFFFFF"/>
        <w:spacing w:before="100" w:beforeAutospacing="1" w:after="100" w:afterAutospacing="1" w:line="600" w:lineRule="atLeast"/>
        <w:ind w:firstLine="640"/>
        <w:jc w:val="left"/>
        <w:rPr>
          <w:rFonts w:asciiTheme="minorEastAsia" w:hAnsiTheme="minorEastAsia" w:cs="宋体" w:hint="eastAsia"/>
          <w:kern w:val="0"/>
          <w:sz w:val="32"/>
          <w:szCs w:val="32"/>
        </w:rPr>
      </w:pPr>
      <w:r w:rsidRPr="00F92D0A">
        <w:rPr>
          <w:rFonts w:asciiTheme="minorEastAsia" w:hAnsiTheme="minorEastAsia" w:cs="宋体" w:hint="eastAsia"/>
          <w:kern w:val="0"/>
          <w:sz w:val="32"/>
          <w:szCs w:val="32"/>
        </w:rPr>
        <w:t>五、推进保险资金深化支农支小融资试点。保险资金要更好服务生猪屠宰、肉类加工、仓储等生猪产业发展，加强与生猪养殖产业链上龙头企业的合作，支持新建和异地重建的生猪规模养殖场发展。</w:t>
      </w:r>
    </w:p>
    <w:p w:rsidR="00F92D0A" w:rsidRPr="00F92D0A" w:rsidRDefault="00F92D0A" w:rsidP="00F92D0A">
      <w:pPr>
        <w:widowControl/>
        <w:shd w:val="clear" w:color="auto" w:fill="FFFFFF"/>
        <w:spacing w:before="100" w:beforeAutospacing="1" w:after="100" w:afterAutospacing="1" w:line="600" w:lineRule="atLeast"/>
        <w:ind w:firstLine="640"/>
        <w:jc w:val="left"/>
        <w:rPr>
          <w:rFonts w:asciiTheme="minorEastAsia" w:hAnsiTheme="minorEastAsia" w:cs="宋体" w:hint="eastAsia"/>
          <w:kern w:val="0"/>
          <w:sz w:val="32"/>
          <w:szCs w:val="32"/>
        </w:rPr>
      </w:pPr>
      <w:r w:rsidRPr="00F92D0A">
        <w:rPr>
          <w:rFonts w:asciiTheme="minorEastAsia" w:hAnsiTheme="minorEastAsia" w:cs="宋体" w:hint="eastAsia"/>
          <w:kern w:val="0"/>
          <w:sz w:val="32"/>
          <w:szCs w:val="32"/>
        </w:rPr>
        <w:t>六、强化政策协调。加强各方政策联动，从融资担保、开展政策性保险等方面充分拓宽风险抵补渠道，切实建立健全生猪产业风险缓释机制。</w:t>
      </w:r>
      <w:r w:rsidRPr="00F92D0A">
        <w:rPr>
          <w:rFonts w:asciiTheme="minorEastAsia" w:hAnsiTheme="minorEastAsia" w:cs="Times New Roman"/>
          <w:kern w:val="0"/>
          <w:sz w:val="32"/>
          <w:szCs w:val="32"/>
        </w:rPr>
        <w:t>严格落实生猪保险与病死猪无害化处理联动措施，</w:t>
      </w:r>
      <w:r w:rsidRPr="00F92D0A">
        <w:rPr>
          <w:rFonts w:asciiTheme="minorEastAsia" w:hAnsiTheme="minorEastAsia" w:cs="宋体" w:hint="eastAsia"/>
          <w:kern w:val="0"/>
          <w:sz w:val="32"/>
          <w:szCs w:val="32"/>
        </w:rPr>
        <w:t>强化</w:t>
      </w:r>
      <w:r w:rsidRPr="00F92D0A">
        <w:rPr>
          <w:rFonts w:asciiTheme="minorEastAsia" w:hAnsiTheme="minorEastAsia" w:cs="Times New Roman"/>
          <w:kern w:val="0"/>
          <w:sz w:val="32"/>
          <w:szCs w:val="32"/>
        </w:rPr>
        <w:t>信息共享和工作衔接。</w:t>
      </w:r>
    </w:p>
    <w:p w:rsidR="00F92D0A" w:rsidRPr="00F92D0A" w:rsidRDefault="00F92D0A" w:rsidP="00F92D0A">
      <w:pPr>
        <w:widowControl/>
        <w:shd w:val="clear" w:color="auto" w:fill="FFFFFF"/>
        <w:spacing w:before="100" w:beforeAutospacing="1" w:after="100" w:afterAutospacing="1" w:line="600" w:lineRule="atLeast"/>
        <w:ind w:firstLine="640"/>
        <w:jc w:val="right"/>
        <w:rPr>
          <w:rFonts w:asciiTheme="minorEastAsia" w:hAnsiTheme="minorEastAsia" w:cs="宋体" w:hint="eastAsia"/>
          <w:kern w:val="0"/>
          <w:sz w:val="32"/>
          <w:szCs w:val="32"/>
        </w:rPr>
      </w:pPr>
      <w:r w:rsidRPr="00F92D0A">
        <w:rPr>
          <w:rFonts w:asciiTheme="minorEastAsia" w:hAnsiTheme="minorEastAsia" w:cs="宋体" w:hint="eastAsia"/>
          <w:kern w:val="0"/>
          <w:sz w:val="32"/>
          <w:szCs w:val="32"/>
        </w:rPr>
        <w:lastRenderedPageBreak/>
        <w:t> </w:t>
      </w:r>
    </w:p>
    <w:p w:rsidR="00F92D0A" w:rsidRPr="00F92D0A" w:rsidRDefault="00F92D0A" w:rsidP="00F92D0A">
      <w:pPr>
        <w:widowControl/>
        <w:shd w:val="clear" w:color="auto" w:fill="FFFFFF"/>
        <w:spacing w:before="100" w:beforeAutospacing="1" w:after="100" w:afterAutospacing="1" w:line="600" w:lineRule="atLeast"/>
        <w:ind w:firstLine="640"/>
        <w:jc w:val="right"/>
        <w:rPr>
          <w:rFonts w:asciiTheme="minorEastAsia" w:hAnsiTheme="minorEastAsia" w:cs="宋体" w:hint="eastAsia"/>
          <w:kern w:val="0"/>
          <w:sz w:val="32"/>
          <w:szCs w:val="32"/>
        </w:rPr>
      </w:pPr>
      <w:r w:rsidRPr="00F92D0A">
        <w:rPr>
          <w:rFonts w:asciiTheme="minorEastAsia" w:hAnsiTheme="minorEastAsia" w:cs="宋体" w:hint="eastAsia"/>
          <w:kern w:val="0"/>
          <w:sz w:val="32"/>
          <w:szCs w:val="32"/>
        </w:rPr>
        <w:t> </w:t>
      </w:r>
    </w:p>
    <w:p w:rsidR="00F92D0A" w:rsidRPr="00F92D0A" w:rsidRDefault="00F92D0A" w:rsidP="00F92D0A">
      <w:pPr>
        <w:widowControl/>
        <w:shd w:val="clear" w:color="auto" w:fill="FFFFFF"/>
        <w:spacing w:before="100" w:beforeAutospacing="1" w:after="100" w:afterAutospacing="1" w:line="600" w:lineRule="atLeast"/>
        <w:ind w:right="180" w:firstLine="640"/>
        <w:jc w:val="right"/>
        <w:rPr>
          <w:rFonts w:asciiTheme="minorEastAsia" w:hAnsiTheme="minorEastAsia" w:cs="宋体" w:hint="eastAsia"/>
          <w:kern w:val="0"/>
          <w:sz w:val="32"/>
          <w:szCs w:val="32"/>
        </w:rPr>
      </w:pPr>
      <w:r w:rsidRPr="00F92D0A">
        <w:rPr>
          <w:rFonts w:asciiTheme="minorEastAsia" w:hAnsiTheme="minorEastAsia" w:cs="宋体" w:hint="eastAsia"/>
          <w:kern w:val="0"/>
          <w:sz w:val="32"/>
          <w:szCs w:val="32"/>
        </w:rPr>
        <w:t>中国银保监会办公厅 农业农村部办公厅</w:t>
      </w:r>
    </w:p>
    <w:p w:rsidR="00F92D0A" w:rsidRPr="00F92D0A" w:rsidRDefault="00F92D0A" w:rsidP="00F92D0A">
      <w:pPr>
        <w:widowControl/>
        <w:shd w:val="clear" w:color="auto" w:fill="FFFFFF"/>
        <w:spacing w:before="100" w:beforeAutospacing="1" w:after="100" w:afterAutospacing="1" w:line="600" w:lineRule="atLeast"/>
        <w:ind w:right="160" w:firstLine="640"/>
        <w:jc w:val="right"/>
        <w:rPr>
          <w:rFonts w:asciiTheme="minorEastAsia" w:hAnsiTheme="minorEastAsia" w:cs="宋体" w:hint="eastAsia"/>
          <w:kern w:val="0"/>
          <w:sz w:val="32"/>
          <w:szCs w:val="32"/>
        </w:rPr>
      </w:pPr>
      <w:r w:rsidRPr="00F92D0A">
        <w:rPr>
          <w:rFonts w:asciiTheme="minorEastAsia" w:hAnsiTheme="minorEastAsia" w:cs="宋体" w:hint="eastAsia"/>
          <w:kern w:val="0"/>
          <w:sz w:val="32"/>
          <w:szCs w:val="32"/>
        </w:rPr>
        <w:t>2019年</w:t>
      </w:r>
      <w:r w:rsidRPr="00F92D0A">
        <w:rPr>
          <w:rFonts w:asciiTheme="minorEastAsia" w:hAnsiTheme="minorEastAsia" w:cs="Times New Roman" w:hint="eastAsia"/>
          <w:kern w:val="0"/>
          <w:sz w:val="32"/>
          <w:szCs w:val="32"/>
        </w:rPr>
        <w:t>9</w:t>
      </w:r>
      <w:r w:rsidRPr="00F92D0A">
        <w:rPr>
          <w:rFonts w:asciiTheme="minorEastAsia" w:hAnsiTheme="minorEastAsia" w:cs="宋体" w:hint="eastAsia"/>
          <w:kern w:val="0"/>
          <w:sz w:val="32"/>
          <w:szCs w:val="32"/>
        </w:rPr>
        <w:t>月</w:t>
      </w:r>
      <w:r w:rsidRPr="00F92D0A">
        <w:rPr>
          <w:rFonts w:asciiTheme="minorEastAsia" w:hAnsiTheme="minorEastAsia" w:cs="Times New Roman" w:hint="eastAsia"/>
          <w:kern w:val="0"/>
          <w:sz w:val="32"/>
          <w:szCs w:val="32"/>
        </w:rPr>
        <w:t>6</w:t>
      </w:r>
      <w:r w:rsidRPr="00F92D0A">
        <w:rPr>
          <w:rFonts w:asciiTheme="minorEastAsia" w:hAnsiTheme="minorEastAsia" w:cs="宋体" w:hint="eastAsia"/>
          <w:kern w:val="0"/>
          <w:sz w:val="32"/>
          <w:szCs w:val="32"/>
        </w:rPr>
        <w:t>日</w:t>
      </w:r>
    </w:p>
    <w:p w:rsidR="00F92D0A" w:rsidRPr="00F92D0A" w:rsidRDefault="00F92D0A" w:rsidP="00F92D0A">
      <w:pPr>
        <w:widowControl/>
        <w:shd w:val="clear" w:color="auto" w:fill="FFFFFF"/>
        <w:spacing w:before="100" w:beforeAutospacing="1" w:after="100" w:afterAutospacing="1" w:line="600" w:lineRule="atLeast"/>
        <w:ind w:firstLine="640"/>
        <w:jc w:val="left"/>
        <w:rPr>
          <w:rFonts w:asciiTheme="minorEastAsia" w:hAnsiTheme="minorEastAsia" w:cs="宋体" w:hint="eastAsia"/>
          <w:kern w:val="0"/>
          <w:sz w:val="32"/>
          <w:szCs w:val="32"/>
        </w:rPr>
      </w:pPr>
      <w:r w:rsidRPr="00F92D0A">
        <w:rPr>
          <w:rFonts w:asciiTheme="minorEastAsia" w:hAnsiTheme="minorEastAsia" w:cs="宋体" w:hint="eastAsia"/>
          <w:kern w:val="0"/>
          <w:sz w:val="32"/>
          <w:szCs w:val="32"/>
        </w:rPr>
        <w:t>（此件发至</w:t>
      </w:r>
      <w:proofErr w:type="gramStart"/>
      <w:r w:rsidRPr="00F92D0A">
        <w:rPr>
          <w:rFonts w:asciiTheme="minorEastAsia" w:hAnsiTheme="minorEastAsia" w:cs="宋体" w:hint="eastAsia"/>
          <w:kern w:val="0"/>
          <w:sz w:val="32"/>
          <w:szCs w:val="32"/>
        </w:rPr>
        <w:t>各银保监分局</w:t>
      </w:r>
      <w:proofErr w:type="gramEnd"/>
      <w:r w:rsidRPr="00F92D0A">
        <w:rPr>
          <w:rFonts w:asciiTheme="minorEastAsia" w:hAnsiTheme="minorEastAsia" w:cs="宋体" w:hint="eastAsia"/>
          <w:kern w:val="0"/>
          <w:sz w:val="32"/>
          <w:szCs w:val="32"/>
        </w:rPr>
        <w:t>和地方法人银行业金融机构）</w:t>
      </w:r>
    </w:p>
    <w:p w:rsidR="008E7E27" w:rsidRPr="00F92D0A" w:rsidRDefault="008E7E27">
      <w:pPr>
        <w:rPr>
          <w:rFonts w:hint="eastAsia"/>
        </w:rPr>
      </w:pPr>
    </w:p>
    <w:sectPr w:rsidR="008E7E27" w:rsidRPr="00F92D0A" w:rsidSect="008E7E2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2D0A"/>
    <w:rsid w:val="008E7E27"/>
    <w:rsid w:val="00F92D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E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387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146</Words>
  <Characters>834</Characters>
  <Application>Microsoft Office Word</Application>
  <DocSecurity>0</DocSecurity>
  <Lines>6</Lines>
  <Paragraphs>1</Paragraphs>
  <ScaleCrop>false</ScaleCrop>
  <Company>CHINA</Company>
  <LinksUpToDate>false</LinksUpToDate>
  <CharactersWithSpaces>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2019-09-06T13:43:00Z</dcterms:created>
  <dcterms:modified xsi:type="dcterms:W3CDTF">2019-09-06T13:45:00Z</dcterms:modified>
</cp:coreProperties>
</file>